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87" w:rsidRPr="005D6FE0" w:rsidRDefault="005D6FE0" w:rsidP="005D6FE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D6FE0">
        <w:rPr>
          <w:rFonts w:ascii="Times New Roman" w:hAnsi="Times New Roman" w:cs="Times New Roman"/>
          <w:b/>
          <w:sz w:val="40"/>
          <w:szCs w:val="40"/>
        </w:rPr>
        <w:t xml:space="preserve">ВЫНУЖДЕННЫМ ПЕРЕСЕЛЕНЦАМ, ИМЕЮЩИМ </w:t>
      </w:r>
      <w:proofErr w:type="gramStart"/>
      <w:r w:rsidRPr="005D6FE0">
        <w:rPr>
          <w:rFonts w:ascii="Times New Roman" w:hAnsi="Times New Roman" w:cs="Times New Roman"/>
          <w:b/>
          <w:sz w:val="40"/>
          <w:szCs w:val="40"/>
        </w:rPr>
        <w:t>НА ПРАВО ПОЛУЧЕНИЕ</w:t>
      </w:r>
      <w:proofErr w:type="gramEnd"/>
      <w:r w:rsidRPr="005D6FE0">
        <w:rPr>
          <w:rFonts w:ascii="Times New Roman" w:hAnsi="Times New Roman" w:cs="Times New Roman"/>
          <w:b/>
          <w:sz w:val="40"/>
          <w:szCs w:val="40"/>
        </w:rPr>
        <w:t xml:space="preserve"> ГОСУДАРСТВЕННОГО ЖИЛИЩНОГО СЕРТИФИКАТА</w:t>
      </w:r>
      <w:r>
        <w:rPr>
          <w:rFonts w:ascii="Times New Roman" w:hAnsi="Times New Roman" w:cs="Times New Roman"/>
          <w:b/>
          <w:sz w:val="40"/>
          <w:szCs w:val="40"/>
        </w:rPr>
        <w:t xml:space="preserve"> ВНЕ ОЧЕРЕДИ</w:t>
      </w:r>
      <w:r w:rsidR="00D05095">
        <w:rPr>
          <w:rFonts w:ascii="Times New Roman" w:hAnsi="Times New Roman" w:cs="Times New Roman"/>
          <w:b/>
          <w:sz w:val="40"/>
          <w:szCs w:val="40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6FE0">
        <w:rPr>
          <w:rFonts w:ascii="Times New Roman" w:hAnsi="Times New Roman" w:cs="Times New Roman"/>
          <w:b/>
          <w:sz w:val="40"/>
          <w:szCs w:val="40"/>
        </w:rPr>
        <w:t>НА ОСНОВАНИИ ПУНКТА 7 ПРАВИЛ ВЫПУСКА И РЕАЛИЗАЦИИ ГОСУДАРСТВЕННЫХ ЖИЛИЩНЫХ СЕРТИФИКАТОВ, УТВЕРЖДЕННЫХ ПОСТАНОВЛЕНИЕМ ПРАВИТЕЛЬСТВА РФ №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6FE0">
        <w:rPr>
          <w:rFonts w:ascii="Times New Roman" w:hAnsi="Times New Roman" w:cs="Times New Roman"/>
          <w:b/>
          <w:sz w:val="40"/>
          <w:szCs w:val="40"/>
        </w:rPr>
        <w:t>153 ОТ 21.03.2006 Г.,  НЕОБХОДИМО ПРЕДСТАВИТЬ ДОКУМЕНТЫ, ПОТВЕРЖДАЮЩИЕ ТАКОЕ ПРАВО:</w:t>
      </w:r>
    </w:p>
    <w:p w:rsidR="006C368D" w:rsidRPr="005D6FE0" w:rsidRDefault="005D6FE0" w:rsidP="006C368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40"/>
          <w:szCs w:val="40"/>
        </w:rPr>
      </w:pPr>
      <w:r w:rsidRPr="005D6FE0">
        <w:rPr>
          <w:rFonts w:ascii="Times New Roman" w:hAnsi="Times New Roman" w:cs="Times New Roman"/>
          <w:sz w:val="40"/>
          <w:szCs w:val="40"/>
        </w:rPr>
        <w:t xml:space="preserve">МЕДИЦИНСКОЕ ЗАКЛЮЧЕНИЕ О НАЛИЧИИ У </w:t>
      </w:r>
      <w:r w:rsidRPr="005D6FE0">
        <w:rPr>
          <w:rFonts w:ascii="Times New Roman" w:hAnsi="Times New Roman" w:cs="Times New Roman"/>
          <w:sz w:val="40"/>
          <w:szCs w:val="40"/>
          <w:u w:val="single"/>
        </w:rPr>
        <w:t>УЧАСТНИКА ПОДПРОГРАММЫ (ГЛАВЫ СЕМЬИ)</w:t>
      </w:r>
      <w:r w:rsidRPr="005D6FE0">
        <w:rPr>
          <w:rFonts w:ascii="Times New Roman" w:hAnsi="Times New Roman" w:cs="Times New Roman"/>
          <w:sz w:val="40"/>
          <w:szCs w:val="40"/>
        </w:rPr>
        <w:t xml:space="preserve"> ЗАБОЛЕВАНИЯ, ВХОДЯЩЕГО В ПЕРЕЧЕНЬ</w:t>
      </w:r>
      <w:r w:rsidRPr="005D6FE0">
        <w:rPr>
          <w:rFonts w:ascii="Times New Roman" w:hAnsi="Times New Roman" w:cs="Times New Roman"/>
          <w:b/>
          <w:bCs/>
          <w:color w:val="26282F"/>
          <w:sz w:val="40"/>
          <w:szCs w:val="40"/>
        </w:rPr>
        <w:t xml:space="preserve"> </w:t>
      </w:r>
      <w:r w:rsidRPr="005D6FE0">
        <w:rPr>
          <w:rFonts w:ascii="Times New Roman" w:hAnsi="Times New Roman" w:cs="Times New Roman"/>
          <w:bCs/>
          <w:color w:val="26282F"/>
          <w:sz w:val="40"/>
          <w:szCs w:val="40"/>
        </w:rPr>
        <w:t xml:space="preserve">ТЯЖЕЛЫХ ФОРМ ХРОНИЧЕСКИХ ЗАБОЛЕВАНИЙ, ПРИ КОТОРЫХ НЕВОЗМОЖНО СОВМЕСТНОЕ ПРОЖИВАНИЕ ГРАЖДАН В ОДНОЙ КВАРТИРЕ, УТВЕРЖДЕННОГО </w:t>
      </w:r>
      <w:hyperlink w:anchor="sub_0" w:history="1">
        <w:r w:rsidRPr="005D6FE0">
          <w:rPr>
            <w:rFonts w:ascii="Times New Roman" w:hAnsi="Times New Roman" w:cs="Times New Roman"/>
            <w:color w:val="000000" w:themeColor="text1"/>
            <w:sz w:val="40"/>
            <w:szCs w:val="40"/>
          </w:rPr>
          <w:t>ПОСТАНОВЛЕНИЕМ</w:t>
        </w:r>
      </w:hyperlink>
      <w:r w:rsidRPr="005D6FE0">
        <w:rPr>
          <w:rFonts w:ascii="Times New Roman" w:hAnsi="Times New Roman" w:cs="Times New Roman"/>
          <w:bCs/>
          <w:color w:val="26282F"/>
          <w:sz w:val="40"/>
          <w:szCs w:val="40"/>
        </w:rPr>
        <w:t xml:space="preserve"> ПРАВИТЕЛЬСТВА РФ ОТ 16.06. 2006 Г. № 378.</w:t>
      </w:r>
    </w:p>
    <w:p w:rsidR="005D6FE0" w:rsidRPr="005D6FE0" w:rsidRDefault="005D6FE0" w:rsidP="005D6FE0">
      <w:pPr>
        <w:pStyle w:val="a3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40"/>
          <w:szCs w:val="40"/>
        </w:rPr>
      </w:pPr>
    </w:p>
    <w:p w:rsidR="006C368D" w:rsidRPr="00D05095" w:rsidRDefault="005D6FE0" w:rsidP="005D6F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FE0">
        <w:rPr>
          <w:rFonts w:ascii="Times New Roman" w:hAnsi="Times New Roman" w:cs="Times New Roman"/>
          <w:sz w:val="40"/>
          <w:szCs w:val="40"/>
        </w:rPr>
        <w:t xml:space="preserve">АКТ, СОСТАВЛЕННЫЙ МЕЖВЕДОМСТВЕННОЙ КОМИССИЕЙ О ПРИЗНАНИИ </w:t>
      </w:r>
      <w:r w:rsidRPr="005D6FE0">
        <w:rPr>
          <w:rFonts w:ascii="Times New Roman" w:hAnsi="Times New Roman" w:cs="Times New Roman"/>
          <w:color w:val="000000" w:themeColor="text1"/>
          <w:sz w:val="40"/>
          <w:szCs w:val="40"/>
        </w:rPr>
        <w:t>ЖИЛОГО ПОМЕЩЕНИЯ, В КОТОРОМ ПРОЖИВАЕТ  УЧАСТНИК ПОДПРОГРАММЫ,  НЕПРИГОДНЫМ ДЛЯ ПРОЖИВАНИЯ И РЕМОНТУ ИЛИ РЕКОНСТРУКЦИИ НЕ ПОДЛЕЖАЩИМ.</w:t>
      </w:r>
    </w:p>
    <w:p w:rsidR="00D05095" w:rsidRPr="00D05095" w:rsidRDefault="00D05095" w:rsidP="00D05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095" w:rsidRDefault="00D05095" w:rsidP="00D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95" w:rsidRDefault="00D05095" w:rsidP="00D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95" w:rsidRDefault="00D05095" w:rsidP="00D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95" w:rsidRDefault="00D05095" w:rsidP="00D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95" w:rsidRDefault="00D05095" w:rsidP="00D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95" w:rsidRDefault="00D05095" w:rsidP="00D050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0"/>
      <w:r w:rsidRPr="00A464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A464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тяжелых форм хронических заболеваний, при которых невозможно совместное проживание граждан в одной квартире</w:t>
      </w:r>
      <w:r w:rsidRPr="00A464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A464B1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A464B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 РФ от 16 июня 2006 г. N 378)</w:t>
      </w:r>
    </w:p>
    <w:p w:rsidR="00D05095" w:rsidRDefault="00D05095" w:rsidP="00D050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D05095" w:rsidTr="00755842"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Код заболевания (по Международной статистической классификации болезней и проблем, связанных со здоровьем)</w:t>
            </w:r>
          </w:p>
        </w:tc>
      </w:tr>
      <w:tr w:rsidR="00D05095" w:rsidTr="00755842"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Активные формы туберкулеза с выделением микобактерий туберкулеза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А15 - А19</w:t>
            </w:r>
          </w:p>
        </w:tc>
      </w:tr>
      <w:tr w:rsidR="00D05095" w:rsidTr="00755842">
        <w:tc>
          <w:tcPr>
            <w:tcW w:w="5108" w:type="dxa"/>
          </w:tcPr>
          <w:p w:rsidR="00D05095" w:rsidRPr="00A464B1" w:rsidRDefault="00D05095" w:rsidP="00755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Злокачественные новообразования,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опровождающиеся обильными  </w:t>
            </w: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выделениями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С00 - С97</w:t>
            </w:r>
          </w:p>
        </w:tc>
      </w:tr>
      <w:tr w:rsidR="00D05095" w:rsidTr="00755842">
        <w:tc>
          <w:tcPr>
            <w:tcW w:w="5108" w:type="dxa"/>
          </w:tcPr>
          <w:p w:rsidR="00D05095" w:rsidRPr="00A464B1" w:rsidRDefault="00D05095" w:rsidP="00755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Хронические и затяжные психические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расстройства с тяжелыми </w:t>
            </w: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стойкими или часто обостряющимися болезненными проявлениями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F00 - F99</w:t>
            </w:r>
          </w:p>
        </w:tc>
      </w:tr>
      <w:tr w:rsidR="00D05095" w:rsidTr="00755842"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Эпилепсия с частыми припадками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G40</w:t>
            </w:r>
          </w:p>
        </w:tc>
      </w:tr>
      <w:tr w:rsidR="00D05095" w:rsidTr="00755842"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Гангрена конечностей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 xml:space="preserve">А48.0; Е10.5; Е11.5;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Е12.5; Е13.5; Е14.5;</w:t>
            </w: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 xml:space="preserve"> I70.2; R02</w:t>
            </w:r>
          </w:p>
        </w:tc>
      </w:tr>
      <w:tr w:rsidR="00D05095" w:rsidTr="00755842">
        <w:tc>
          <w:tcPr>
            <w:tcW w:w="5108" w:type="dxa"/>
          </w:tcPr>
          <w:p w:rsidR="00D05095" w:rsidRPr="00A464B1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Гангрена и некроз легкого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J85.0</w:t>
            </w:r>
          </w:p>
        </w:tc>
      </w:tr>
      <w:tr w:rsidR="00D05095" w:rsidTr="00755842">
        <w:tc>
          <w:tcPr>
            <w:tcW w:w="5108" w:type="dxa"/>
          </w:tcPr>
          <w:p w:rsidR="00D05095" w:rsidRPr="00A464B1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Абсцесс легкого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J85.2</w:t>
            </w:r>
          </w:p>
        </w:tc>
      </w:tr>
      <w:tr w:rsidR="00D05095" w:rsidTr="00755842">
        <w:tc>
          <w:tcPr>
            <w:tcW w:w="5108" w:type="dxa"/>
          </w:tcPr>
          <w:p w:rsidR="00D05095" w:rsidRPr="00A464B1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Пиодермия гангренозная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L88</w:t>
            </w:r>
          </w:p>
        </w:tc>
      </w:tr>
      <w:tr w:rsidR="00D05095" w:rsidTr="00755842">
        <w:tc>
          <w:tcPr>
            <w:tcW w:w="5108" w:type="dxa"/>
          </w:tcPr>
          <w:p w:rsidR="00D05095" w:rsidRPr="00A464B1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Множественные поражения кожи с </w:t>
            </w:r>
            <w:proofErr w:type="gramStart"/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обильным</w:t>
            </w:r>
            <w:proofErr w:type="gramEnd"/>
            <w:r w:rsidRPr="00A464B1">
              <w:rPr>
                <w:rFonts w:ascii="Times New Roman" w:hAnsi="Times New Roman" w:cs="Times New Roman"/>
                <w:sz w:val="20"/>
                <w:szCs w:val="20"/>
              </w:rPr>
              <w:t xml:space="preserve"> отделяемым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L98.9</w:t>
            </w:r>
          </w:p>
        </w:tc>
      </w:tr>
      <w:tr w:rsidR="00D05095" w:rsidTr="00755842">
        <w:tc>
          <w:tcPr>
            <w:tcW w:w="5108" w:type="dxa"/>
          </w:tcPr>
          <w:p w:rsidR="00D05095" w:rsidRPr="00A464B1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Кишечный свищ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К63.2</w:t>
            </w:r>
          </w:p>
        </w:tc>
      </w:tr>
      <w:tr w:rsidR="00D05095" w:rsidTr="00755842">
        <w:tc>
          <w:tcPr>
            <w:tcW w:w="5108" w:type="dxa"/>
          </w:tcPr>
          <w:p w:rsidR="00D05095" w:rsidRPr="00A464B1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Уретральный свищ</w:t>
            </w:r>
          </w:p>
        </w:tc>
        <w:tc>
          <w:tcPr>
            <w:tcW w:w="5108" w:type="dxa"/>
          </w:tcPr>
          <w:p w:rsidR="00D05095" w:rsidRDefault="00D05095" w:rsidP="0075584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464B1">
              <w:rPr>
                <w:rFonts w:ascii="Times New Roman" w:hAnsi="Times New Roman" w:cs="Times New Roman"/>
                <w:sz w:val="20"/>
                <w:szCs w:val="20"/>
              </w:rPr>
              <w:t>N36.0</w:t>
            </w:r>
          </w:p>
        </w:tc>
      </w:tr>
      <w:bookmarkEnd w:id="1"/>
    </w:tbl>
    <w:p w:rsidR="00D05095" w:rsidRDefault="00D05095" w:rsidP="00D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95" w:rsidRPr="00D05095" w:rsidRDefault="00D05095" w:rsidP="00D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095" w:rsidRPr="00D05095" w:rsidSect="005D6FE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25C0"/>
    <w:multiLevelType w:val="hybridMultilevel"/>
    <w:tmpl w:val="7DD8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1"/>
    <w:rsid w:val="004E6562"/>
    <w:rsid w:val="00596919"/>
    <w:rsid w:val="005D6FE0"/>
    <w:rsid w:val="006C368D"/>
    <w:rsid w:val="00704265"/>
    <w:rsid w:val="007A4560"/>
    <w:rsid w:val="00A37F71"/>
    <w:rsid w:val="00AB3F52"/>
    <w:rsid w:val="00D05095"/>
    <w:rsid w:val="00F2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8D"/>
    <w:pPr>
      <w:ind w:left="720"/>
      <w:contextualSpacing/>
    </w:pPr>
  </w:style>
  <w:style w:type="table" w:styleId="a4">
    <w:name w:val="Table Grid"/>
    <w:basedOn w:val="a1"/>
    <w:uiPriority w:val="39"/>
    <w:rsid w:val="00D0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8D"/>
    <w:pPr>
      <w:ind w:left="720"/>
      <w:contextualSpacing/>
    </w:pPr>
  </w:style>
  <w:style w:type="table" w:styleId="a4">
    <w:name w:val="Table Grid"/>
    <w:basedOn w:val="a1"/>
    <w:uiPriority w:val="39"/>
    <w:rsid w:val="00D0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МЕДИЦИНСКОЕ ЗАКЛЮЧЕНИЕ О НАЛИЧИИ У УЧАСТНИКА ПОДПРОГРАММЫ (ГЛАВЫ СЕМЬИ) ЗАБОЛЕВА</vt:lpstr>
      <vt:lpstr/>
      <vt:lpstr>Перечень тяжелых форм хронических заболеваний, при которых невозможно совместное</vt:lpstr>
      <vt:lpstr/>
    </vt:vector>
  </TitlesOfParts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2017-09-05T14:16:00Z</dcterms:created>
  <dcterms:modified xsi:type="dcterms:W3CDTF">2017-09-05T14:16:00Z</dcterms:modified>
</cp:coreProperties>
</file>